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DF8AE" w14:textId="413A4336" w:rsidR="00817440" w:rsidRDefault="00AB4F78" w:rsidP="00817440">
      <w:pPr>
        <w:pStyle w:val="Title"/>
        <w:jc w:val="center"/>
        <w:rPr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48CBF6" wp14:editId="58823EDD">
            <wp:simplePos x="0" y="0"/>
            <wp:positionH relativeFrom="margin">
              <wp:align>center</wp:align>
            </wp:positionH>
            <wp:positionV relativeFrom="paragraph">
              <wp:posOffset>-494665</wp:posOffset>
            </wp:positionV>
            <wp:extent cx="1162050" cy="495718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9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BF5">
        <w:rPr>
          <w:b/>
          <w:sz w:val="48"/>
          <w:szCs w:val="48"/>
        </w:rPr>
        <w:t xml:space="preserve">NAACCR </w:t>
      </w:r>
      <w:r w:rsidR="00BB3BF5" w:rsidRPr="00C75EB3">
        <w:rPr>
          <w:b/>
          <w:sz w:val="48"/>
          <w:szCs w:val="48"/>
        </w:rPr>
        <w:t xml:space="preserve">Webinar </w:t>
      </w:r>
      <w:r w:rsidR="00BB3BF5">
        <w:rPr>
          <w:b/>
          <w:sz w:val="48"/>
          <w:szCs w:val="48"/>
        </w:rPr>
        <w:t>Series 20</w:t>
      </w:r>
      <w:r w:rsidR="00C436B6">
        <w:rPr>
          <w:b/>
          <w:sz w:val="48"/>
          <w:szCs w:val="48"/>
        </w:rPr>
        <w:t>24</w:t>
      </w:r>
      <w:r w:rsidR="00BB3BF5">
        <w:rPr>
          <w:b/>
          <w:sz w:val="48"/>
          <w:szCs w:val="48"/>
        </w:rPr>
        <w:t>-20</w:t>
      </w:r>
      <w:r w:rsidR="00C436B6">
        <w:rPr>
          <w:b/>
          <w:sz w:val="48"/>
          <w:szCs w:val="48"/>
        </w:rPr>
        <w:t>25</w:t>
      </w:r>
    </w:p>
    <w:p w14:paraId="51F95BEC" w14:textId="77777777" w:rsidR="00817440" w:rsidRPr="00817440" w:rsidRDefault="00817440" w:rsidP="00817440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8095"/>
        <w:gridCol w:w="1255"/>
      </w:tblGrid>
      <w:tr w:rsidR="00630227" w:rsidRPr="001F762B" w14:paraId="3D6187F7" w14:textId="77777777" w:rsidTr="003A5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44546A" w:themeFill="text2"/>
          </w:tcPr>
          <w:p w14:paraId="696E0924" w14:textId="543F41C3" w:rsidR="00630227" w:rsidRPr="00EF3D39" w:rsidRDefault="00630227" w:rsidP="00630227">
            <w:pPr>
              <w:spacing w:after="160" w:line="259" w:lineRule="auto"/>
              <w:jc w:val="center"/>
              <w:rPr>
                <w:rFonts w:asciiTheme="minorHAnsi" w:hAnsiTheme="minorHAnsi" w:cstheme="minorHAnsi"/>
                <w:bCs w:val="0"/>
                <w:color w:val="44546A" w:themeColor="text2"/>
                <w:sz w:val="24"/>
                <w:szCs w:val="24"/>
              </w:rPr>
            </w:pPr>
            <w:r w:rsidRPr="00EF3D39">
              <w:rPr>
                <w:rFonts w:asciiTheme="minorHAnsi" w:hAnsiTheme="minorHAnsi" w:cstheme="minorHAnsi"/>
                <w:color w:val="44546A" w:themeColor="text2"/>
                <w:sz w:val="24"/>
                <w:szCs w:val="24"/>
              </w:rPr>
              <w:t>Date</w:t>
            </w:r>
          </w:p>
        </w:tc>
      </w:tr>
      <w:tr w:rsidR="00BB3BF5" w:rsidRPr="001F762B" w14:paraId="28EE5224" w14:textId="77777777" w:rsidTr="00990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35872AD3" w14:textId="77777777" w:rsidR="00C436B6" w:rsidRDefault="00C436B6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>Larynx and Base of Tongue</w:t>
            </w:r>
          </w:p>
          <w:p w14:paraId="178B73C4" w14:textId="3440D063" w:rsidR="00724781" w:rsidRPr="001F762B" w:rsidRDefault="00724781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724781">
              <w:rPr>
                <w:rFonts w:asciiTheme="minorHAnsi" w:hAnsiTheme="minorHAnsi" w:cstheme="minorHAnsi"/>
                <w:bCs w:val="0"/>
                <w:sz w:val="24"/>
                <w:szCs w:val="24"/>
              </w:rPr>
              <w:t>Co-host: Wilson Apollo</w:t>
            </w:r>
          </w:p>
          <w:p w14:paraId="746A3CB9" w14:textId="7D64AECD" w:rsidR="008F0CBF" w:rsidRPr="00376B43" w:rsidRDefault="00103159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10315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This webinar will cover anatomy, solid tumor rules, staging and treatment of 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laryngeal and base of tongue</w:t>
            </w:r>
            <w:r w:rsidRPr="0010315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primary malignancies. Examples, quizzes, and case scenarios 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will be provided </w:t>
            </w:r>
          </w:p>
          <w:p w14:paraId="61A9D90F" w14:textId="2722A9E1" w:rsidR="00AD7C81" w:rsidRPr="001F762B" w:rsidRDefault="00AD7C81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BF8F57B" w14:textId="459E57B3" w:rsidR="00BB3BF5" w:rsidRPr="001F762B" w:rsidRDefault="00E91D3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  <w:r w:rsidR="00376B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 &amp; 2pm</w:t>
            </w:r>
          </w:p>
        </w:tc>
      </w:tr>
      <w:tr w:rsidR="00BB3BF5" w:rsidRPr="001F762B" w14:paraId="28FF628A" w14:textId="77777777" w:rsidTr="00990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5924CF1C" w14:textId="6F108665" w:rsidR="00BB3BF5" w:rsidRDefault="00C436B6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Bladder 2024</w:t>
            </w:r>
          </w:p>
          <w:p w14:paraId="373840E5" w14:textId="03FFEEAF" w:rsidR="00724781" w:rsidRPr="00724781" w:rsidRDefault="00724781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724781">
              <w:rPr>
                <w:rFonts w:asciiTheme="minorHAnsi" w:hAnsiTheme="minorHAnsi" w:cstheme="minorHAnsi"/>
                <w:sz w:val="24"/>
                <w:szCs w:val="24"/>
              </w:rPr>
              <w:t>Co-host: Denise Harrison</w:t>
            </w:r>
          </w:p>
          <w:p w14:paraId="59D1FC7A" w14:textId="2FF16B3A" w:rsidR="00AD7C81" w:rsidRPr="001F762B" w:rsidRDefault="00103159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0315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This webinar will cover anatomy, solid tumor rules, staging and treatment of 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bladder</w:t>
            </w:r>
            <w:r w:rsidRPr="0010315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primary malignancies. Examples, quizzes, and case scenarios included.</w:t>
            </w:r>
          </w:p>
        </w:tc>
        <w:tc>
          <w:tcPr>
            <w:tcW w:w="1255" w:type="dxa"/>
          </w:tcPr>
          <w:p w14:paraId="77D31638" w14:textId="6BC94AFB" w:rsidR="00BB3BF5" w:rsidRDefault="00E91D3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  <w:r w:rsidR="00575E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67CFC682" w14:textId="6FF027F0" w:rsidR="00575E73" w:rsidRPr="001F762B" w:rsidRDefault="00575E7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  <w:tr w:rsidR="008F0CBF" w:rsidRPr="001F762B" w14:paraId="4E050AE3" w14:textId="77777777" w:rsidTr="00990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42A0EC2F" w14:textId="5F4371F8" w:rsidR="008F0CBF" w:rsidRDefault="00C436B6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Hematopoietic 2024</w:t>
            </w:r>
            <w:r w:rsidR="00FA6F43">
              <w:rPr>
                <w:rFonts w:asciiTheme="minorHAnsi" w:hAnsiTheme="minorHAnsi" w:cstheme="minorHAnsi"/>
                <w:bCs w:val="0"/>
                <w:sz w:val="24"/>
                <w:szCs w:val="24"/>
              </w:rPr>
              <w:t>/2025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Part 1</w:t>
            </w:r>
          </w:p>
          <w:p w14:paraId="2A9CB2C6" w14:textId="2E5F2F0C" w:rsidR="00F2662B" w:rsidRPr="00EF3D39" w:rsidRDefault="00F2662B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F2662B">
              <w:rPr>
                <w:rFonts w:asciiTheme="minorHAnsi" w:hAnsiTheme="minorHAnsi" w:cstheme="minorHAnsi"/>
                <w:sz w:val="24"/>
                <w:szCs w:val="24"/>
              </w:rPr>
              <w:t xml:space="preserve">Co-host: </w:t>
            </w:r>
            <w:r w:rsidR="00C436B6">
              <w:rPr>
                <w:rFonts w:asciiTheme="minorHAnsi" w:hAnsiTheme="minorHAnsi" w:cstheme="minorHAnsi"/>
                <w:sz w:val="24"/>
                <w:szCs w:val="24"/>
              </w:rPr>
              <w:t xml:space="preserve">Juliet </w:t>
            </w:r>
            <w:r w:rsidR="00BD72E1">
              <w:rPr>
                <w:rFonts w:asciiTheme="minorHAnsi" w:hAnsiTheme="minorHAnsi" w:cstheme="minorHAnsi"/>
                <w:sz w:val="24"/>
                <w:szCs w:val="24"/>
              </w:rPr>
              <w:t>Wilkins</w:t>
            </w:r>
          </w:p>
          <w:p w14:paraId="0C2B60A8" w14:textId="0EF728D1" w:rsidR="00AD7C81" w:rsidRPr="00AD7C81" w:rsidRDefault="00103159" w:rsidP="007E752B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During this webinar we will focus on anatomy, physiology, genetics, and vocabulary related to hematopoietic. We will also focus on staging (lymphoma) and treatment. </w:t>
            </w:r>
          </w:p>
        </w:tc>
        <w:tc>
          <w:tcPr>
            <w:tcW w:w="1255" w:type="dxa"/>
          </w:tcPr>
          <w:p w14:paraId="23D9C49F" w14:textId="37A287A3" w:rsidR="00C436B6" w:rsidRDefault="00E91D37" w:rsidP="00575E7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  <w:r w:rsidR="00D104F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2pm</w:t>
            </w:r>
          </w:p>
          <w:p w14:paraId="42CA38E5" w14:textId="2E324BAF" w:rsidR="00575E73" w:rsidRPr="001F762B" w:rsidRDefault="00C436B6" w:rsidP="00575E7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12/5/24</w:t>
            </w:r>
            <w:r w:rsidR="00376B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9am</w:t>
            </w:r>
          </w:p>
          <w:p w14:paraId="7727D436" w14:textId="650747B8" w:rsidR="00575E73" w:rsidRPr="001F762B" w:rsidRDefault="00575E7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F0CBF" w:rsidRPr="001F762B" w14:paraId="31C9421C" w14:textId="77777777" w:rsidTr="00990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BBD6DEE" w14:textId="235C043A" w:rsidR="00C436B6" w:rsidRDefault="00C436B6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>Hematopoietic 2024</w:t>
            </w:r>
            <w:r w:rsidR="00FA6F43">
              <w:rPr>
                <w:rFonts w:asciiTheme="minorHAnsi" w:hAnsiTheme="minorHAnsi" w:cstheme="minorHAnsi"/>
                <w:bCs w:val="0"/>
                <w:sz w:val="24"/>
                <w:szCs w:val="24"/>
              </w:rPr>
              <w:t>/2025</w:t>
            </w:r>
            <w:r w:rsidRP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Part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2</w:t>
            </w:r>
          </w:p>
          <w:p w14:paraId="025FD743" w14:textId="4EF9C2CA" w:rsidR="00F2662B" w:rsidRPr="00F2662B" w:rsidRDefault="00F2662B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F2662B">
              <w:rPr>
                <w:rFonts w:asciiTheme="minorHAnsi" w:hAnsiTheme="minorHAnsi" w:cstheme="minorHAnsi"/>
                <w:sz w:val="24"/>
                <w:szCs w:val="24"/>
              </w:rPr>
              <w:t xml:space="preserve">Co-host: </w:t>
            </w:r>
            <w:r w:rsidR="00C436B6">
              <w:rPr>
                <w:rFonts w:asciiTheme="minorHAnsi" w:hAnsiTheme="minorHAnsi" w:cstheme="minorHAnsi"/>
                <w:sz w:val="24"/>
                <w:szCs w:val="24"/>
              </w:rPr>
              <w:t>Jennifer Ruhl</w:t>
            </w:r>
          </w:p>
          <w:p w14:paraId="11124900" w14:textId="1CC3815A" w:rsidR="001F762B" w:rsidRPr="00376B43" w:rsidRDefault="000C19D2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During this webinar we </w:t>
            </w:r>
            <w:r w:rsidR="001A6068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will </w:t>
            </w:r>
            <w:r w:rsidR="001A6068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focus</w:t>
            </w:r>
            <w:r w:rsidR="0010315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on the hematopoietic manual and database</w:t>
            </w:r>
            <w:r w:rsidR="001F762B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. </w:t>
            </w:r>
            <w:r w:rsidR="00630227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Examples, quizzes, and case scenarios included.</w:t>
            </w:r>
          </w:p>
          <w:p w14:paraId="5D1BFFC0" w14:textId="193FC34C" w:rsidR="00AD7C81" w:rsidRPr="001F762B" w:rsidRDefault="00AD7C81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156B812" w14:textId="6FB606E1" w:rsidR="008F0CBF" w:rsidRDefault="00E91D3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575E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162F5B2B" w14:textId="6EEC9349" w:rsidR="00575E73" w:rsidRPr="001F762B" w:rsidRDefault="00575E7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9pm</w:t>
            </w:r>
          </w:p>
        </w:tc>
      </w:tr>
      <w:tr w:rsidR="008F0CBF" w:rsidRPr="001F762B" w14:paraId="743F34AF" w14:textId="77777777" w:rsidTr="00990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11A96495" w14:textId="7E7840D5" w:rsidR="008F0CBF" w:rsidRDefault="00C436B6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Unusual Sites</w:t>
            </w:r>
            <w:r w:rsidR="0054415C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25</w:t>
            </w:r>
          </w:p>
          <w:p w14:paraId="111AC36B" w14:textId="207B485F" w:rsidR="00F2662B" w:rsidRPr="00F2662B" w:rsidRDefault="00F2662B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F2662B">
              <w:rPr>
                <w:rFonts w:asciiTheme="minorHAnsi" w:hAnsiTheme="minorHAnsi" w:cstheme="minorHAnsi"/>
                <w:sz w:val="24"/>
                <w:szCs w:val="24"/>
              </w:rPr>
              <w:t xml:space="preserve">Co-host: </w:t>
            </w:r>
            <w:r w:rsidR="0054415C">
              <w:rPr>
                <w:rFonts w:asciiTheme="minorHAnsi" w:hAnsiTheme="minorHAnsi" w:cstheme="minorHAnsi"/>
                <w:sz w:val="24"/>
                <w:szCs w:val="24"/>
              </w:rPr>
              <w:t>Vicki Hawhee</w:t>
            </w:r>
          </w:p>
          <w:p w14:paraId="09AD520B" w14:textId="0DDACD0F" w:rsidR="007F5E3F" w:rsidRPr="00376B43" w:rsidRDefault="007F5E3F" w:rsidP="007F5E3F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This webinar will </w:t>
            </w:r>
            <w:r w:rsidR="0010315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discuss sites that are not as common as the sites we usually cover. </w:t>
            </w:r>
            <w:r w:rsidR="008A168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We will cover primaries of the thymus, pleural mesothelioma, primaries of the eye and more.</w:t>
            </w:r>
            <w:r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Examples, quizzes, and case scenarios included.</w:t>
            </w:r>
          </w:p>
          <w:p w14:paraId="1EAEF6D7" w14:textId="0B01EA9F" w:rsidR="00AD7C81" w:rsidRPr="001F762B" w:rsidRDefault="00AD7C81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9C0203F" w14:textId="444C224A" w:rsidR="007423CB" w:rsidRDefault="00C436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2/5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39405665" w14:textId="30AC6BCA" w:rsidR="008F0CBF" w:rsidRPr="001F762B" w:rsidRDefault="00E91D3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  <w:tr w:rsidR="008F0CBF" w:rsidRPr="001F762B" w14:paraId="23907BB6" w14:textId="77777777" w:rsidTr="00990DD7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9C5A1F7" w14:textId="1FF6E9F3" w:rsidR="008F0CBF" w:rsidRDefault="00630227" w:rsidP="00630227">
            <w:pPr>
              <w:tabs>
                <w:tab w:val="left" w:pos="4116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b w:val="0"/>
                <w:bCs w:val="0"/>
              </w:rPr>
              <w:br w:type="page"/>
            </w:r>
            <w:r w:rsidR="008F0CBF" w:rsidRPr="001F762B">
              <w:rPr>
                <w:rFonts w:asciiTheme="minorHAnsi" w:hAnsiTheme="minorHAnsi" w:cstheme="minorHAnsi"/>
                <w:bCs w:val="0"/>
                <w:sz w:val="24"/>
                <w:szCs w:val="24"/>
              </w:rPr>
              <w:t>Boot Camp</w:t>
            </w:r>
            <w:r w:rsid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</w:t>
            </w:r>
            <w:r w:rsidR="008F0CBF" w:rsidRPr="001F762B">
              <w:rPr>
                <w:rFonts w:asciiTheme="minorHAnsi" w:hAnsiTheme="minorHAnsi" w:cstheme="minorHAnsi"/>
                <w:bCs w:val="0"/>
                <w:sz w:val="24"/>
                <w:szCs w:val="24"/>
              </w:rPr>
              <w:t>20</w:t>
            </w:r>
            <w:r w:rsid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ab/>
            </w:r>
          </w:p>
          <w:p w14:paraId="401FB167" w14:textId="6F0921CD" w:rsidR="00F2662B" w:rsidRPr="00F2662B" w:rsidRDefault="0054415C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Co-host: </w:t>
            </w:r>
            <w:r w:rsid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>Nancy Etzold &amp; Sarah Burton</w:t>
            </w:r>
          </w:p>
          <w:p w14:paraId="08677A93" w14:textId="7D61A856" w:rsidR="00AD7C81" w:rsidRPr="001F762B" w:rsidRDefault="008A1682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This may be our most popular webinar</w:t>
            </w:r>
            <w:r w:rsidR="007F5E3F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During this session we will </w:t>
            </w:r>
            <w:r w:rsidR="00C13438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spend most of our time completing and reviewing quizzes, exercises, and case scenarios. There will be minimal lecture.</w:t>
            </w:r>
          </w:p>
        </w:tc>
        <w:tc>
          <w:tcPr>
            <w:tcW w:w="1255" w:type="dxa"/>
          </w:tcPr>
          <w:p w14:paraId="4D60C82F" w14:textId="00063503" w:rsidR="008F0CBF" w:rsidRDefault="00E91D3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04D61280" w14:textId="07FE124F" w:rsidR="007423CB" w:rsidRPr="001F762B" w:rsidRDefault="007423C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</w:tbl>
    <w:p w14:paraId="3E36F89D" w14:textId="77777777" w:rsidR="00FA35A4" w:rsidRDefault="00FA35A4">
      <w:r>
        <w:rPr>
          <w:b/>
          <w:bCs/>
        </w:rPr>
        <w:br w:type="page"/>
      </w:r>
    </w:p>
    <w:tbl>
      <w:tblPr>
        <w:tblStyle w:val="GridTable4-Accent3"/>
        <w:tblW w:w="0" w:type="auto"/>
        <w:tblLook w:val="0480" w:firstRow="0" w:lastRow="0" w:firstColumn="1" w:lastColumn="0" w:noHBand="0" w:noVBand="1"/>
      </w:tblPr>
      <w:tblGrid>
        <w:gridCol w:w="8095"/>
        <w:gridCol w:w="1255"/>
      </w:tblGrid>
      <w:tr w:rsidR="008F0CBF" w:rsidRPr="001F762B" w14:paraId="0DF99DC0" w14:textId="77777777" w:rsidTr="00990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EA30BA9" w14:textId="3B260818" w:rsidR="00EF3D39" w:rsidRDefault="00C436B6" w:rsidP="00EF3D39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lastRenderedPageBreak/>
              <w:t>Treatment</w:t>
            </w:r>
            <w:r w:rsidR="0054415C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25</w:t>
            </w:r>
          </w:p>
          <w:p w14:paraId="500358D1" w14:textId="33EF1546" w:rsidR="00EF3D39" w:rsidRPr="00426313" w:rsidRDefault="00EF3D39" w:rsidP="00EF3D39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93296">
              <w:rPr>
                <w:rFonts w:asciiTheme="minorHAnsi" w:hAnsiTheme="minorHAnsi" w:cstheme="minorHAnsi"/>
                <w:sz w:val="24"/>
                <w:szCs w:val="24"/>
              </w:rPr>
              <w:t xml:space="preserve">Co-host: </w:t>
            </w:r>
            <w:r w:rsidR="00C436B6">
              <w:rPr>
                <w:rFonts w:asciiTheme="minorHAnsi" w:hAnsiTheme="minorHAnsi" w:cstheme="minorHAnsi"/>
                <w:sz w:val="24"/>
                <w:szCs w:val="24"/>
              </w:rPr>
              <w:t>Wilson Apollo</w:t>
            </w:r>
          </w:p>
          <w:p w14:paraId="4E9AB02C" w14:textId="4D10443D" w:rsidR="00AD7C81" w:rsidRPr="001F762B" w:rsidRDefault="008A1682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During this session we will focus on coding treatment. We will cover, surgery, systemic, and radiation. </w:t>
            </w:r>
            <w:r w:rsidR="007F5E3F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We will spend most of our time completing and reviewing quizzes, exercises, and case scenarios.</w:t>
            </w:r>
            <w:r w:rsidR="00C13438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</w:tcPr>
          <w:p w14:paraId="5AA663EA" w14:textId="77777777" w:rsidR="00C436B6" w:rsidRDefault="00E91D3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4/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125C016" w14:textId="405E79C2" w:rsidR="008F0CBF" w:rsidRDefault="00C436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9am and 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>2pm</w:t>
            </w:r>
          </w:p>
          <w:p w14:paraId="1F65584F" w14:textId="0371E48B" w:rsidR="007423CB" w:rsidRPr="001F762B" w:rsidRDefault="007423C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F0CBF" w:rsidRPr="001F762B" w14:paraId="1EEA15CF" w14:textId="77777777" w:rsidTr="00990DD7">
        <w:trPr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6FA0430C" w14:textId="41E97868" w:rsidR="008F0CBF" w:rsidRDefault="00C436B6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Prostate</w:t>
            </w:r>
            <w:r w:rsidR="0054415C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25</w:t>
            </w:r>
          </w:p>
          <w:p w14:paraId="783CBAC3" w14:textId="7DF2B0BA" w:rsidR="00693296" w:rsidRPr="00693296" w:rsidRDefault="00693296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693296">
              <w:rPr>
                <w:rFonts w:asciiTheme="minorHAnsi" w:hAnsiTheme="minorHAnsi" w:cstheme="minorHAnsi"/>
                <w:sz w:val="24"/>
                <w:szCs w:val="24"/>
              </w:rPr>
              <w:t xml:space="preserve">Co-host: </w:t>
            </w:r>
            <w:r w:rsidR="00C436B6">
              <w:rPr>
                <w:rFonts w:asciiTheme="minorHAnsi" w:hAnsiTheme="minorHAnsi" w:cstheme="minorHAnsi"/>
                <w:sz w:val="24"/>
                <w:szCs w:val="24"/>
              </w:rPr>
              <w:t>Noah Reid</w:t>
            </w:r>
          </w:p>
          <w:p w14:paraId="413E288D" w14:textId="4E7266D0" w:rsidR="007F5E3F" w:rsidRPr="00376B43" w:rsidRDefault="007F5E3F" w:rsidP="007F5E3F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This webinar will cover anatomy, solid tumor rules, staging and treatment </w:t>
            </w:r>
            <w:r w:rsidR="00566252"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of </w:t>
            </w:r>
            <w:r w:rsidR="0056625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prostate</w:t>
            </w:r>
            <w:r w:rsidR="00D958A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primary malignancies. Examples, quizzes, and case scenarios included.</w:t>
            </w:r>
          </w:p>
          <w:p w14:paraId="117F1389" w14:textId="66799346" w:rsidR="008F0CBF" w:rsidRPr="001F762B" w:rsidRDefault="008F0CBF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F3EED27" w14:textId="6272B95E" w:rsidR="008F0CBF" w:rsidRDefault="00E91D3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5/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531D1CE3" w14:textId="22CE4DD8" w:rsidR="007423CB" w:rsidRPr="001F762B" w:rsidRDefault="007423C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  <w:tr w:rsidR="008F0CBF" w:rsidRPr="001F762B" w14:paraId="26DD7C66" w14:textId="77777777" w:rsidTr="00990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15988C68" w14:textId="2857F330" w:rsidR="008F0CBF" w:rsidRDefault="00120C28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Uterus</w:t>
            </w:r>
            <w:r w:rsidR="0054415C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20</w:t>
            </w:r>
            <w:r w:rsid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>25</w:t>
            </w:r>
          </w:p>
          <w:p w14:paraId="6834F235" w14:textId="44D15509" w:rsidR="00693296" w:rsidRPr="00376B43" w:rsidRDefault="00120C28">
            <w:pPr>
              <w:spacing w:after="160" w:line="259" w:lineRule="auto"/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Co-host: Janine Smith</w:t>
            </w:r>
          </w:p>
          <w:p w14:paraId="116CC1EF" w14:textId="3D0342AE" w:rsidR="00E81C66" w:rsidRPr="00E81C66" w:rsidRDefault="007F5E3F" w:rsidP="00693296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This webinar will cover anatomy, solid tumor rules, staging and treatment of </w:t>
            </w:r>
            <w:r w:rsidR="008A168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uterine</w:t>
            </w:r>
            <w:r w:rsidRPr="00376B43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primary malignancies. Examples, quizzes, and case scenarios included</w:t>
            </w:r>
            <w:r w:rsidR="00333846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14:paraId="5D81CC12" w14:textId="7E175FFA" w:rsidR="008F0CBF" w:rsidRDefault="00E91D3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6/</w:t>
            </w:r>
            <w:r w:rsidR="00120C28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14589F21" w14:textId="36A3C628" w:rsidR="007423CB" w:rsidRPr="001F762B" w:rsidRDefault="007423C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6/</w:t>
            </w:r>
            <w:r w:rsidR="00120C28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  <w:tr w:rsidR="008F0CBF" w:rsidRPr="001F762B" w14:paraId="7ACDC181" w14:textId="77777777" w:rsidTr="00990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2880D57" w14:textId="5102D1E8" w:rsidR="004A5966" w:rsidRPr="004A5966" w:rsidRDefault="00FA6F43" w:rsidP="004A5966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Leveraging Technology to Improve Efficiency in a Hospital Based Cancer Registry</w:t>
            </w:r>
          </w:p>
          <w:p w14:paraId="561406CA" w14:textId="5EAAB0D6" w:rsidR="0054415C" w:rsidRDefault="0054415C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Guest Presenters: </w:t>
            </w:r>
            <w:r w:rsidR="00120C28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</w:t>
            </w:r>
            <w:r w:rsidR="00FA6F43">
              <w:rPr>
                <w:rFonts w:asciiTheme="minorHAnsi" w:hAnsiTheme="minorHAnsi" w:cstheme="minorHAnsi"/>
                <w:bCs w:val="0"/>
                <w:sz w:val="24"/>
                <w:szCs w:val="24"/>
              </w:rPr>
              <w:t>Kelly Merriman, Michele Webb</w:t>
            </w:r>
          </w:p>
          <w:p w14:paraId="7426B02F" w14:textId="54E7B8D8" w:rsidR="00F6029C" w:rsidRPr="00683838" w:rsidRDefault="00FA6F43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6F43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 xml:space="preserve">In </w:t>
            </w:r>
            <w:r w:rsidR="00333846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 xml:space="preserve">this </w:t>
            </w:r>
            <w:r w:rsidRPr="00FA6F43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 xml:space="preserve">webinar we will review new technologies used to improve efficiency of basic hospital registry operations. These operations include, but are not limited to casefinding, follow-up, and abstracting. </w:t>
            </w:r>
          </w:p>
        </w:tc>
        <w:tc>
          <w:tcPr>
            <w:tcW w:w="1255" w:type="dxa"/>
          </w:tcPr>
          <w:p w14:paraId="5BE56A88" w14:textId="2925E93F" w:rsidR="008F0CBF" w:rsidRDefault="00E91D3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7/</w:t>
            </w:r>
            <w:r w:rsidR="00120C28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0B41EA7F" w14:textId="6057AEA9" w:rsidR="007423CB" w:rsidRPr="001F762B" w:rsidRDefault="007423C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7/1</w:t>
            </w:r>
            <w:r w:rsidR="00120C28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  <w:tr w:rsidR="00E91D37" w:rsidRPr="001F762B" w14:paraId="2C08A0E2" w14:textId="77777777" w:rsidTr="00990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F01DCA2" w14:textId="284D94E5" w:rsidR="00EF3D39" w:rsidRDefault="00120C28" w:rsidP="00EF3D39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Solid Tumor Rules</w:t>
            </w:r>
            <w:r w:rsidR="0054415C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20</w:t>
            </w:r>
            <w:r w:rsid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>25</w:t>
            </w:r>
          </w:p>
          <w:p w14:paraId="5579F084" w14:textId="515EAF20" w:rsidR="00EF3D39" w:rsidRPr="00376B43" w:rsidRDefault="00EF3D39" w:rsidP="00EF3D39">
            <w:pPr>
              <w:spacing w:after="160" w:line="259" w:lineRule="auto"/>
              <w:contextualSpacing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376B4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Co-host: </w:t>
            </w:r>
            <w:r w:rsidR="00120C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Denise Harrison</w:t>
            </w:r>
          </w:p>
          <w:p w14:paraId="24FCC1BB" w14:textId="165F417C" w:rsidR="00E81C66" w:rsidRPr="00E81C66" w:rsidRDefault="008A1682" w:rsidP="007F5E3F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During this session we will complete an in-depth review of the core concepts used to determine multiple primaries and assign histology.</w:t>
            </w:r>
            <w:r w:rsidR="00C1343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13438" w:rsidRPr="00C1343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Examples, quizzes, and case scenarios included</w:t>
            </w:r>
            <w:r w:rsidR="0081744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14:paraId="36CABD44" w14:textId="67F8D4C7" w:rsidR="007423CB" w:rsidRDefault="00120C2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0FA0EF4A" w14:textId="536429DB" w:rsidR="00E91D37" w:rsidRPr="001F762B" w:rsidRDefault="00E91D3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8/</w:t>
            </w:r>
            <w:r w:rsidR="00120C28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  <w:tr w:rsidR="008F0CBF" w:rsidRPr="001F762B" w14:paraId="1908A9F6" w14:textId="77777777" w:rsidTr="00990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6C97AE98" w14:textId="41AEED9D" w:rsidR="008F0CBF" w:rsidRDefault="008F0CBF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F762B">
              <w:rPr>
                <w:rFonts w:asciiTheme="minorHAnsi" w:hAnsiTheme="minorHAnsi" w:cstheme="minorHAnsi"/>
                <w:bCs w:val="0"/>
                <w:sz w:val="24"/>
                <w:szCs w:val="24"/>
              </w:rPr>
              <w:t>Coding Pitfalls</w:t>
            </w:r>
            <w:r w:rsidR="003E5255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20</w:t>
            </w:r>
            <w:r w:rsidR="00C436B6">
              <w:rPr>
                <w:rFonts w:asciiTheme="minorHAnsi" w:hAnsiTheme="minorHAnsi" w:cstheme="minorHAnsi"/>
                <w:bCs w:val="0"/>
                <w:sz w:val="24"/>
                <w:szCs w:val="24"/>
              </w:rPr>
              <w:t>25</w:t>
            </w:r>
          </w:p>
          <w:p w14:paraId="53A93E28" w14:textId="4AA9AD71" w:rsidR="0063295F" w:rsidRPr="0063295F" w:rsidRDefault="0063295F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3295F">
              <w:rPr>
                <w:rFonts w:asciiTheme="minorHAnsi" w:hAnsiTheme="minorHAnsi" w:cstheme="minorHAnsi"/>
                <w:sz w:val="24"/>
                <w:szCs w:val="24"/>
              </w:rPr>
              <w:t>Co-host: Janet Vogel</w:t>
            </w:r>
          </w:p>
          <w:p w14:paraId="56A15080" w14:textId="5472877F" w:rsidR="001F762B" w:rsidRDefault="001F762B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F762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During this webinar we will review problematic coding issue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</w:t>
            </w:r>
            <w:r w:rsidR="0063295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identified through quality control of registry data.  </w:t>
            </w:r>
          </w:p>
          <w:p w14:paraId="0003D35A" w14:textId="3F8BADCF" w:rsidR="001F762B" w:rsidRPr="001F762B" w:rsidRDefault="001F762B" w:rsidP="0063295F">
            <w:pPr>
              <w:spacing w:after="160" w:line="259" w:lineRule="auto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CBCDD70" w14:textId="4837659C" w:rsidR="008F0CBF" w:rsidRDefault="00E91D3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9/</w:t>
            </w:r>
            <w:r w:rsidR="00120C2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E0595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7423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2pm</w:t>
            </w:r>
          </w:p>
          <w:p w14:paraId="2DCFD41A" w14:textId="490119D4" w:rsidR="007423CB" w:rsidRPr="001F762B" w:rsidRDefault="007423C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9/</w:t>
            </w:r>
            <w:r w:rsidR="008E20ED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436B6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9am</w:t>
            </w:r>
          </w:p>
        </w:tc>
      </w:tr>
    </w:tbl>
    <w:p w14:paraId="64D08168" w14:textId="77777777" w:rsidR="00A11548" w:rsidRDefault="00A11548">
      <w:pPr>
        <w:spacing w:after="160" w:line="259" w:lineRule="auto"/>
        <w:rPr>
          <w:b/>
          <w:sz w:val="48"/>
          <w:szCs w:val="48"/>
        </w:rPr>
      </w:pPr>
    </w:p>
    <w:p w14:paraId="0808D818" w14:textId="11D3D80B" w:rsidR="00BB3BF5" w:rsidRDefault="00BB3BF5">
      <w:pPr>
        <w:spacing w:after="160" w:line="259" w:lineRule="auto"/>
        <w:rPr>
          <w:rFonts w:asciiTheme="majorHAnsi" w:eastAsiaTheme="majorEastAsia" w:hAnsiTheme="majorHAnsi" w:cstheme="majorBidi"/>
          <w:b/>
          <w:color w:val="auto"/>
          <w:spacing w:val="-10"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660F0B17" w14:textId="743B3E0A" w:rsidR="00532AC9" w:rsidRDefault="00532AC9" w:rsidP="00793C99">
      <w:pPr>
        <w:pStyle w:val="Title"/>
        <w:jc w:val="center"/>
        <w:rPr>
          <w:b/>
          <w:sz w:val="48"/>
          <w:szCs w:val="48"/>
        </w:rPr>
      </w:pPr>
      <w:bookmarkStart w:id="0" w:name="_Hlk100059933"/>
      <w:r>
        <w:rPr>
          <w:b/>
          <w:sz w:val="48"/>
          <w:szCs w:val="48"/>
        </w:rPr>
        <w:lastRenderedPageBreak/>
        <w:t xml:space="preserve">NAACCR </w:t>
      </w:r>
      <w:r w:rsidR="00793C99" w:rsidRPr="00C75EB3">
        <w:rPr>
          <w:b/>
          <w:sz w:val="48"/>
          <w:szCs w:val="48"/>
        </w:rPr>
        <w:t xml:space="preserve">Webinar </w:t>
      </w:r>
      <w:r>
        <w:rPr>
          <w:b/>
          <w:sz w:val="48"/>
          <w:szCs w:val="48"/>
        </w:rPr>
        <w:t>Series 20</w:t>
      </w:r>
      <w:r w:rsidR="00C436B6">
        <w:rPr>
          <w:b/>
          <w:sz w:val="48"/>
          <w:szCs w:val="48"/>
        </w:rPr>
        <w:t>24</w:t>
      </w:r>
      <w:r>
        <w:rPr>
          <w:b/>
          <w:sz w:val="48"/>
          <w:szCs w:val="48"/>
        </w:rPr>
        <w:t>-20</w:t>
      </w:r>
      <w:r w:rsidR="00C436B6">
        <w:rPr>
          <w:b/>
          <w:sz w:val="48"/>
          <w:szCs w:val="48"/>
        </w:rPr>
        <w:t>25</w:t>
      </w:r>
    </w:p>
    <w:p w14:paraId="348516F3" w14:textId="47215D8F" w:rsidR="00793C99" w:rsidRPr="00C75EB3" w:rsidRDefault="00793C99" w:rsidP="00793C99">
      <w:pPr>
        <w:pStyle w:val="Title"/>
        <w:jc w:val="center"/>
        <w:rPr>
          <w:b/>
          <w:sz w:val="48"/>
          <w:szCs w:val="48"/>
        </w:rPr>
      </w:pPr>
      <w:r w:rsidRPr="00C75EB3">
        <w:rPr>
          <w:b/>
          <w:sz w:val="48"/>
          <w:szCs w:val="48"/>
        </w:rPr>
        <w:t>Subscription Pricing Details</w:t>
      </w:r>
    </w:p>
    <w:bookmarkEnd w:id="0"/>
    <w:p w14:paraId="70CE4509" w14:textId="7A6D4EC9" w:rsidR="00793C99" w:rsidRDefault="00793C99" w:rsidP="00793C99">
      <w:pPr>
        <w:contextualSpacing/>
        <w:jc w:val="center"/>
        <w:rPr>
          <w:rFonts w:ascii="Calibri" w:hAnsi="Calibri"/>
          <w:sz w:val="24"/>
          <w:szCs w:val="24"/>
        </w:rPr>
      </w:pPr>
      <w:r w:rsidRPr="00793C99">
        <w:rPr>
          <w:rFonts w:ascii="Calibri" w:hAnsi="Calibri"/>
          <w:sz w:val="24"/>
          <w:szCs w:val="24"/>
        </w:rPr>
        <w:t xml:space="preserve">Visit </w:t>
      </w:r>
      <w:hyperlink r:id="rId6" w:history="1">
        <w:r w:rsidRPr="00793C99">
          <w:rPr>
            <w:rStyle w:val="Hyperlink"/>
            <w:rFonts w:asciiTheme="minorHAnsi" w:eastAsiaTheme="minorHAnsi" w:hAnsiTheme="minorHAnsi" w:cstheme="minorBidi"/>
            <w:kern w:val="0"/>
            <w:sz w:val="24"/>
            <w:szCs w:val="24"/>
          </w:rPr>
          <w:t xml:space="preserve">https://education.naaccr.org/ </w:t>
        </w:r>
      </w:hyperlink>
      <w:r w:rsidRPr="00793C99">
        <w:rPr>
          <w:rFonts w:asciiTheme="minorHAnsi" w:eastAsiaTheme="minorHAnsi" w:hAnsiTheme="minorHAnsi" w:cstheme="minorBidi"/>
          <w:color w:val="auto"/>
          <w:kern w:val="0"/>
          <w:sz w:val="24"/>
          <w:szCs w:val="24"/>
        </w:rPr>
        <w:t xml:space="preserve"> </w:t>
      </w:r>
      <w:r w:rsidRPr="00793C99">
        <w:rPr>
          <w:rFonts w:ascii="Calibri" w:hAnsi="Calibri"/>
          <w:sz w:val="24"/>
          <w:szCs w:val="24"/>
        </w:rPr>
        <w:t xml:space="preserve">for more information </w:t>
      </w:r>
      <w:r>
        <w:rPr>
          <w:rFonts w:ascii="Calibri" w:hAnsi="Calibri"/>
          <w:sz w:val="24"/>
          <w:szCs w:val="24"/>
        </w:rPr>
        <w:t>or</w:t>
      </w:r>
      <w:r w:rsidRPr="00793C99">
        <w:rPr>
          <w:rFonts w:ascii="Calibri" w:hAnsi="Calibri"/>
          <w:sz w:val="24"/>
          <w:szCs w:val="24"/>
        </w:rPr>
        <w:t xml:space="preserve"> to purchase a subscription!</w:t>
      </w:r>
    </w:p>
    <w:p w14:paraId="0234B988" w14:textId="77777777" w:rsidR="003D2B9A" w:rsidRDefault="003D2B9A" w:rsidP="003D2B9A">
      <w:pPr>
        <w:contextualSpacing/>
        <w:rPr>
          <w:rFonts w:ascii="Calibri" w:hAnsi="Calibri"/>
        </w:rPr>
      </w:pPr>
    </w:p>
    <w:p w14:paraId="343B6587" w14:textId="735980E6" w:rsidR="00C75EB3" w:rsidRPr="003D2B9A" w:rsidRDefault="00C75EB3" w:rsidP="003D2B9A">
      <w:pPr>
        <w:contextualSpacing/>
        <w:rPr>
          <w:rFonts w:ascii="Calibri" w:hAnsi="Calibri"/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45"/>
        <w:gridCol w:w="1705"/>
      </w:tblGrid>
      <w:tr w:rsidR="00793C99" w:rsidRPr="00B7612D" w14:paraId="48D99479" w14:textId="77777777" w:rsidTr="006F5B16">
        <w:tc>
          <w:tcPr>
            <w:tcW w:w="7645" w:type="dxa"/>
            <w:shd w:val="clear" w:color="auto" w:fill="44546A" w:themeFill="text2"/>
          </w:tcPr>
          <w:p w14:paraId="65B2BE3D" w14:textId="77777777" w:rsidR="00793C99" w:rsidRPr="00532AC9" w:rsidRDefault="00793C99" w:rsidP="006F5B16">
            <w:pPr>
              <w:spacing w:after="180" w:line="360" w:lineRule="atLeast"/>
              <w:textAlignment w:val="baseline"/>
              <w:rPr>
                <w:rFonts w:ascii="Calibri" w:hAnsi="Calibri"/>
                <w:color w:val="FFFFFF" w:themeColor="background1"/>
                <w:sz w:val="28"/>
                <w:szCs w:val="28"/>
              </w:rPr>
            </w:pPr>
            <w:r w:rsidRPr="00532AC9">
              <w:rPr>
                <w:rFonts w:ascii="Calibri" w:hAnsi="Calibri"/>
                <w:color w:val="FFFFFF" w:themeColor="background1"/>
                <w:sz w:val="28"/>
                <w:szCs w:val="28"/>
              </w:rPr>
              <w:t xml:space="preserve">Webinar Subscription </w:t>
            </w:r>
          </w:p>
        </w:tc>
        <w:tc>
          <w:tcPr>
            <w:tcW w:w="1705" w:type="dxa"/>
            <w:shd w:val="clear" w:color="auto" w:fill="44546A" w:themeFill="text2"/>
          </w:tcPr>
          <w:p w14:paraId="15390DF8" w14:textId="77777777" w:rsidR="00793C99" w:rsidRPr="00532AC9" w:rsidRDefault="00793C99" w:rsidP="006F5B16">
            <w:pPr>
              <w:spacing w:after="180" w:line="360" w:lineRule="atLeast"/>
              <w:textAlignment w:val="baseline"/>
              <w:rPr>
                <w:sz w:val="28"/>
                <w:szCs w:val="28"/>
              </w:rPr>
            </w:pPr>
            <w:r w:rsidRPr="00532AC9">
              <w:rPr>
                <w:rFonts w:ascii="Calibri" w:hAnsi="Calibri"/>
                <w:color w:val="FFFFFF" w:themeColor="background1"/>
                <w:sz w:val="28"/>
                <w:szCs w:val="28"/>
              </w:rPr>
              <w:t>Cost</w:t>
            </w:r>
          </w:p>
        </w:tc>
      </w:tr>
      <w:tr w:rsidR="00793C99" w14:paraId="2EFE582E" w14:textId="77777777" w:rsidTr="00A11548">
        <w:trPr>
          <w:trHeight w:val="485"/>
        </w:trPr>
        <w:tc>
          <w:tcPr>
            <w:tcW w:w="7645" w:type="dxa"/>
            <w:tcBorders>
              <w:bottom w:val="single" w:sz="4" w:space="0" w:color="auto"/>
            </w:tcBorders>
          </w:tcPr>
          <w:p w14:paraId="37356B90" w14:textId="54BA9556" w:rsidR="00793C99" w:rsidRPr="00423C57" w:rsidRDefault="004E7B6C" w:rsidP="004E7B6C">
            <w:pPr>
              <w:spacing w:after="180" w:line="22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24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-20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25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 xml:space="preserve"> Monthly Webinar Series: 12 Webinars with 5 Remotes</w:t>
            </w:r>
          </w:p>
        </w:tc>
        <w:tc>
          <w:tcPr>
            <w:tcW w:w="1705" w:type="dxa"/>
          </w:tcPr>
          <w:p w14:paraId="176C40CB" w14:textId="30D45953" w:rsidR="00793C99" w:rsidRPr="00423C57" w:rsidRDefault="004E7B6C" w:rsidP="006F5B16">
            <w:pPr>
              <w:spacing w:after="180" w:line="36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$</w:t>
            </w:r>
            <w:r w:rsidR="00E0595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2,000</w:t>
            </w:r>
          </w:p>
        </w:tc>
      </w:tr>
      <w:tr w:rsidR="00793C99" w14:paraId="6D7F2CBA" w14:textId="77777777" w:rsidTr="006F5B16">
        <w:trPr>
          <w:trHeight w:val="422"/>
        </w:trPr>
        <w:tc>
          <w:tcPr>
            <w:tcW w:w="7645" w:type="dxa"/>
            <w:tcBorders>
              <w:bottom w:val="nil"/>
            </w:tcBorders>
          </w:tcPr>
          <w:p w14:paraId="6E89AB88" w14:textId="39955F2B" w:rsidR="00793C99" w:rsidRPr="00423C57" w:rsidRDefault="004E7B6C" w:rsidP="006F5B16">
            <w:pPr>
              <w:spacing w:after="180" w:line="22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24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-20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25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 xml:space="preserve"> Monthly Webinar Series: 12 Webinars with 8 Remotes</w:t>
            </w:r>
          </w:p>
        </w:tc>
        <w:tc>
          <w:tcPr>
            <w:tcW w:w="1705" w:type="dxa"/>
          </w:tcPr>
          <w:p w14:paraId="328683E8" w14:textId="091E6836" w:rsidR="00793C99" w:rsidRPr="00423C57" w:rsidRDefault="004E7B6C" w:rsidP="006F5B16">
            <w:pPr>
              <w:spacing w:after="180" w:line="36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$</w:t>
            </w:r>
            <w:r w:rsidR="00E0595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2,280</w:t>
            </w:r>
          </w:p>
        </w:tc>
      </w:tr>
      <w:tr w:rsidR="00793C99" w14:paraId="614318D0" w14:textId="77777777" w:rsidTr="006F5B16">
        <w:trPr>
          <w:trHeight w:val="413"/>
        </w:trPr>
        <w:tc>
          <w:tcPr>
            <w:tcW w:w="7645" w:type="dxa"/>
            <w:tcBorders>
              <w:bottom w:val="nil"/>
            </w:tcBorders>
          </w:tcPr>
          <w:p w14:paraId="3DCB1677" w14:textId="2C70F942" w:rsidR="00793C99" w:rsidRPr="00423C57" w:rsidRDefault="004E7B6C" w:rsidP="006F5B16">
            <w:pPr>
              <w:spacing w:after="180" w:line="220" w:lineRule="atLeast"/>
              <w:contextualSpacing/>
              <w:textAlignment w:val="baseline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24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-20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25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 xml:space="preserve"> Monthly Webinar Series: 12 Webinars with 10 Remotes</w:t>
            </w:r>
          </w:p>
        </w:tc>
        <w:tc>
          <w:tcPr>
            <w:tcW w:w="1705" w:type="dxa"/>
          </w:tcPr>
          <w:p w14:paraId="3329AF9E" w14:textId="5C5A8649" w:rsidR="00793C99" w:rsidRPr="00423C57" w:rsidRDefault="004E7B6C" w:rsidP="006F5B16">
            <w:pPr>
              <w:spacing w:after="180" w:line="36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$</w:t>
            </w:r>
            <w:r w:rsidR="00E0595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2,420</w:t>
            </w:r>
          </w:p>
        </w:tc>
      </w:tr>
      <w:tr w:rsidR="00793C99" w14:paraId="7F748C23" w14:textId="77777777" w:rsidTr="006F5B16">
        <w:tc>
          <w:tcPr>
            <w:tcW w:w="7645" w:type="dxa"/>
          </w:tcPr>
          <w:p w14:paraId="3D852F6E" w14:textId="61ACDFA5" w:rsidR="00793C99" w:rsidRPr="00423C57" w:rsidRDefault="004E7B6C" w:rsidP="006F5B16">
            <w:pPr>
              <w:spacing w:after="180" w:line="36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24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-20</w:t>
            </w:r>
            <w:r w:rsidR="00C436B6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25</w:t>
            </w:r>
            <w:r w:rsidRPr="00423C57"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 xml:space="preserve"> Monthly Webinar Series: 12 Webinars with 15 Remotes</w:t>
            </w:r>
          </w:p>
        </w:tc>
        <w:tc>
          <w:tcPr>
            <w:tcW w:w="1705" w:type="dxa"/>
          </w:tcPr>
          <w:p w14:paraId="397959BD" w14:textId="2EC53145" w:rsidR="00793C99" w:rsidRPr="00423C57" w:rsidRDefault="004E7B6C" w:rsidP="006F5B16">
            <w:pPr>
              <w:spacing w:after="180" w:line="36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3C5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$2</w:t>
            </w:r>
            <w:r w:rsidR="00E0595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,840</w:t>
            </w:r>
          </w:p>
        </w:tc>
      </w:tr>
      <w:tr w:rsidR="00E05950" w14:paraId="17DC26BD" w14:textId="77777777" w:rsidTr="006F5B16">
        <w:tc>
          <w:tcPr>
            <w:tcW w:w="7645" w:type="dxa"/>
          </w:tcPr>
          <w:p w14:paraId="3A6FFD6C" w14:textId="0334A58D" w:rsidR="00E05950" w:rsidRPr="00423C57" w:rsidRDefault="00E05950" w:rsidP="006F5B16">
            <w:pPr>
              <w:spacing w:after="180" w:line="360" w:lineRule="atLeast"/>
              <w:textAlignment w:val="baseline"/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4A66A0"/>
                <w:sz w:val="24"/>
                <w:szCs w:val="24"/>
                <w:shd w:val="clear" w:color="auto" w:fill="FFFFFF"/>
              </w:rPr>
              <w:t>Single Webinar</w:t>
            </w:r>
          </w:p>
        </w:tc>
        <w:tc>
          <w:tcPr>
            <w:tcW w:w="1705" w:type="dxa"/>
          </w:tcPr>
          <w:p w14:paraId="7559FA16" w14:textId="52780724" w:rsidR="00E05950" w:rsidRPr="00423C57" w:rsidRDefault="00E05950" w:rsidP="006F5B16">
            <w:pPr>
              <w:spacing w:after="180" w:line="360" w:lineRule="atLeast"/>
              <w:textAlignment w:val="baseline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$260</w:t>
            </w:r>
          </w:p>
        </w:tc>
      </w:tr>
    </w:tbl>
    <w:p w14:paraId="02A764A7" w14:textId="77777777" w:rsidR="00793C99" w:rsidRPr="00532AC9" w:rsidRDefault="00793C99" w:rsidP="00793C99">
      <w:pPr>
        <w:spacing w:after="180"/>
        <w:contextualSpacing/>
        <w:textAlignment w:val="baseline"/>
        <w:rPr>
          <w:rFonts w:ascii="Calibri" w:hAnsi="Calibri"/>
          <w:color w:val="auto"/>
        </w:rPr>
      </w:pPr>
    </w:p>
    <w:p w14:paraId="591F87AD" w14:textId="77777777" w:rsidR="0015513E" w:rsidRDefault="0015513E" w:rsidP="00793C99">
      <w:pPr>
        <w:spacing w:after="180"/>
        <w:contextualSpacing/>
        <w:textAlignment w:val="baseline"/>
        <w:rPr>
          <w:rFonts w:ascii="Calibri" w:hAnsi="Calibri"/>
          <w:color w:val="auto"/>
        </w:rPr>
      </w:pPr>
    </w:p>
    <w:p w14:paraId="56400327" w14:textId="42C7BE00" w:rsidR="00793C99" w:rsidRPr="0015513E" w:rsidRDefault="00793C99" w:rsidP="00724781">
      <w:pPr>
        <w:spacing w:after="180"/>
        <w:contextualSpacing/>
        <w:textAlignment w:val="baseline"/>
      </w:pPr>
    </w:p>
    <w:sectPr w:rsidR="00793C99" w:rsidRPr="00155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EAB"/>
    <w:multiLevelType w:val="hybridMultilevel"/>
    <w:tmpl w:val="14B2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060"/>
    <w:multiLevelType w:val="hybridMultilevel"/>
    <w:tmpl w:val="77D8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44921">
    <w:abstractNumId w:val="0"/>
  </w:num>
  <w:num w:numId="2" w16cid:durableId="132712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99"/>
    <w:rsid w:val="000164A8"/>
    <w:rsid w:val="00081C6B"/>
    <w:rsid w:val="000870DE"/>
    <w:rsid w:val="00094F9B"/>
    <w:rsid w:val="000B106F"/>
    <w:rsid w:val="000C19D2"/>
    <w:rsid w:val="00103159"/>
    <w:rsid w:val="001056FF"/>
    <w:rsid w:val="00120C28"/>
    <w:rsid w:val="00134708"/>
    <w:rsid w:val="0015513E"/>
    <w:rsid w:val="00171C25"/>
    <w:rsid w:val="00194AAE"/>
    <w:rsid w:val="001A6068"/>
    <w:rsid w:val="001E52C7"/>
    <w:rsid w:val="001F762B"/>
    <w:rsid w:val="002020A4"/>
    <w:rsid w:val="00253F85"/>
    <w:rsid w:val="00277E90"/>
    <w:rsid w:val="002F1C7E"/>
    <w:rsid w:val="00331625"/>
    <w:rsid w:val="00333846"/>
    <w:rsid w:val="00376B43"/>
    <w:rsid w:val="003D2B9A"/>
    <w:rsid w:val="003E5255"/>
    <w:rsid w:val="00423C57"/>
    <w:rsid w:val="00423EB4"/>
    <w:rsid w:val="004A5966"/>
    <w:rsid w:val="004E7B6C"/>
    <w:rsid w:val="0050293F"/>
    <w:rsid w:val="00532AC9"/>
    <w:rsid w:val="0054415C"/>
    <w:rsid w:val="00566252"/>
    <w:rsid w:val="00575E73"/>
    <w:rsid w:val="005B7671"/>
    <w:rsid w:val="005E57D5"/>
    <w:rsid w:val="00630227"/>
    <w:rsid w:val="0063295F"/>
    <w:rsid w:val="00673A42"/>
    <w:rsid w:val="00683838"/>
    <w:rsid w:val="006845D5"/>
    <w:rsid w:val="00693296"/>
    <w:rsid w:val="00723CCB"/>
    <w:rsid w:val="00724781"/>
    <w:rsid w:val="00732CDC"/>
    <w:rsid w:val="007423CB"/>
    <w:rsid w:val="00793C99"/>
    <w:rsid w:val="007A3EA0"/>
    <w:rsid w:val="007B603A"/>
    <w:rsid w:val="007E752B"/>
    <w:rsid w:val="007F5E3F"/>
    <w:rsid w:val="00817440"/>
    <w:rsid w:val="008A1682"/>
    <w:rsid w:val="008D4385"/>
    <w:rsid w:val="008E20ED"/>
    <w:rsid w:val="008F0CBF"/>
    <w:rsid w:val="00937A7C"/>
    <w:rsid w:val="009809DD"/>
    <w:rsid w:val="00990DD7"/>
    <w:rsid w:val="009D6E4F"/>
    <w:rsid w:val="009E0081"/>
    <w:rsid w:val="009E3355"/>
    <w:rsid w:val="00A11548"/>
    <w:rsid w:val="00A43647"/>
    <w:rsid w:val="00A65C5A"/>
    <w:rsid w:val="00AB4F78"/>
    <w:rsid w:val="00AD7C81"/>
    <w:rsid w:val="00B0017E"/>
    <w:rsid w:val="00B13A3E"/>
    <w:rsid w:val="00B557DC"/>
    <w:rsid w:val="00BB3BF5"/>
    <w:rsid w:val="00BD72E1"/>
    <w:rsid w:val="00BF7748"/>
    <w:rsid w:val="00C13438"/>
    <w:rsid w:val="00C436B6"/>
    <w:rsid w:val="00C55686"/>
    <w:rsid w:val="00C75EB3"/>
    <w:rsid w:val="00C8080F"/>
    <w:rsid w:val="00CE0B6B"/>
    <w:rsid w:val="00D104F4"/>
    <w:rsid w:val="00D657AA"/>
    <w:rsid w:val="00D66379"/>
    <w:rsid w:val="00D90839"/>
    <w:rsid w:val="00D958AA"/>
    <w:rsid w:val="00DA4FC5"/>
    <w:rsid w:val="00E05950"/>
    <w:rsid w:val="00E81C66"/>
    <w:rsid w:val="00E91D37"/>
    <w:rsid w:val="00EF3D39"/>
    <w:rsid w:val="00F0677C"/>
    <w:rsid w:val="00F118BA"/>
    <w:rsid w:val="00F2662B"/>
    <w:rsid w:val="00F6029C"/>
    <w:rsid w:val="00FA35A4"/>
    <w:rsid w:val="00FA6F43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E958"/>
  <w15:chartTrackingRefBased/>
  <w15:docId w15:val="{80A47E7A-0B7C-40BD-8191-1A24AC23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C9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C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3C99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93C99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rsid w:val="00793C99"/>
    <w:rPr>
      <w:color w:val="0563C1" w:themeColor="hyperlink"/>
      <w:u w:val="single"/>
    </w:rPr>
  </w:style>
  <w:style w:type="table" w:styleId="GridTable4-Accent3">
    <w:name w:val="Grid Table 4 Accent 3"/>
    <w:basedOn w:val="TableNormal"/>
    <w:uiPriority w:val="49"/>
    <w:rsid w:val="008F0C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1551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7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52B"/>
  </w:style>
  <w:style w:type="character" w:customStyle="1" w:styleId="CommentTextChar">
    <w:name w:val="Comment Text Char"/>
    <w:basedOn w:val="DefaultParagraphFont"/>
    <w:link w:val="CommentText"/>
    <w:uiPriority w:val="99"/>
    <w:rsid w:val="007E752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2B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naaccr.org/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3005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Gronemeyer, Audrey A</cp:lastModifiedBy>
  <cp:revision>2</cp:revision>
  <cp:lastPrinted>2024-06-18T20:14:00Z</cp:lastPrinted>
  <dcterms:created xsi:type="dcterms:W3CDTF">2024-10-25T20:33:00Z</dcterms:created>
  <dcterms:modified xsi:type="dcterms:W3CDTF">2024-10-25T20:33:00Z</dcterms:modified>
</cp:coreProperties>
</file>